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296"/>
        <w:gridCol w:w="936"/>
        <w:gridCol w:w="2886"/>
        <w:gridCol w:w="1895"/>
        <w:gridCol w:w="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附件：四川汽车职业技术学院2023-2024年度院内立项课题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CQY202301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PLC虚拟仿真实训平台建设及运用研究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现代机电工程学院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CQY202302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五育融合视角下民办职业院校学生劳动素养的培育现状及其改进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思想政治和基础部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CQY202303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高职院校学生实践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能力培养成的探索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建筑工程和经济管理学院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CQY202304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职业教育实训教学质量监控体系研究——以高职动漫制作技术专业为例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教育和艺术学院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CQY202305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民办高职教师职业能力发展路径研究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教育和艺术学院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CQY202306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培养工匠精神 提高学生职业素养的路径研究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学工部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CQY202307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培养工匠精神提高学生职业素养的路径研究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建筑工程和经济管理学院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CQY202308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学校心理健康教育评价研究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思想政治和基础部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CQY202309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民办高职退伍复学大学生的校园再适应与发展思考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现代机电工程学院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CQY202310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新能源汽车底盘浅析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教务科技处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CQY202311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岳菁雯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“现代学徒制”下会计专业人才培养模式探索与实践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建筑工程和经济管理学院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mMDRjYzhhNTUxNzA2NjgwNjhlZGYxMjAxODk2M2UifQ=="/>
  </w:docVars>
  <w:rsids>
    <w:rsidRoot w:val="193F0EC0"/>
    <w:rsid w:val="193F0EC0"/>
    <w:rsid w:val="1C513EBA"/>
    <w:rsid w:val="3EBA2B37"/>
    <w:rsid w:val="4C427768"/>
    <w:rsid w:val="798B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842</Words>
  <Characters>980</Characters>
  <Lines>0</Lines>
  <Paragraphs>0</Paragraphs>
  <TotalTime>23</TotalTime>
  <ScaleCrop>false</ScaleCrop>
  <LinksUpToDate>false</LinksUpToDate>
  <CharactersWithSpaces>1007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2022-12-28T08:42:00Z</dcterms:created>
  <dc:creator>敬</dc:creator>
  <cp:lastModifiedBy>卡卡</cp:lastModifiedBy>
  <cp:lastPrinted>2022-12-29T02:09:00Z</cp:lastPrinted>
  <dcterms:modified xsi:type="dcterms:W3CDTF">2022-12-30T00:45:49Z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7CD8D4727DC94465B105F5AE117B9F3F</vt:lpwstr>
  </property>
</Properties>
</file>