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DC" w:rsidRPr="00F62C45" w:rsidRDefault="009D17DC" w:rsidP="009D17DC">
      <w:pPr>
        <w:adjustRightInd w:val="0"/>
        <w:snapToGrid w:val="0"/>
        <w:spacing w:line="600" w:lineRule="exact"/>
        <w:jc w:val="center"/>
        <w:rPr>
          <w:rStyle w:val="a3"/>
          <w:rFonts w:ascii="华文中宋" w:eastAsia="华文中宋" w:hAnsi="华文中宋"/>
          <w:sz w:val="32"/>
          <w:szCs w:val="28"/>
          <w:shd w:val="clear" w:color="auto" w:fill="FFFFFF"/>
        </w:rPr>
      </w:pPr>
      <w:r w:rsidRPr="00F62C45">
        <w:rPr>
          <w:rStyle w:val="a3"/>
          <w:rFonts w:ascii="华文中宋" w:eastAsia="华文中宋" w:hAnsi="华文中宋" w:hint="eastAsia"/>
          <w:sz w:val="32"/>
          <w:szCs w:val="28"/>
          <w:shd w:val="clear" w:color="auto" w:fill="FFFFFF"/>
        </w:rPr>
        <w:t>四川省教育信息化应用与发展研究中心</w:t>
      </w:r>
    </w:p>
    <w:p w:rsidR="009D17DC" w:rsidRPr="00F62C45" w:rsidRDefault="009D17DC" w:rsidP="009D17DC">
      <w:pPr>
        <w:adjustRightInd w:val="0"/>
        <w:snapToGrid w:val="0"/>
        <w:spacing w:line="600" w:lineRule="exact"/>
        <w:jc w:val="center"/>
        <w:rPr>
          <w:rStyle w:val="a3"/>
          <w:rFonts w:ascii="华文中宋" w:eastAsia="华文中宋" w:hAnsi="华文中宋"/>
          <w:sz w:val="32"/>
          <w:szCs w:val="28"/>
          <w:shd w:val="clear" w:color="auto" w:fill="FFFFFF"/>
        </w:rPr>
      </w:pPr>
      <w:r w:rsidRPr="00F62C45">
        <w:rPr>
          <w:rStyle w:val="a3"/>
          <w:rFonts w:ascii="华文中宋" w:eastAsia="华文中宋" w:hAnsi="华文中宋" w:hint="eastAsia"/>
          <w:sz w:val="32"/>
          <w:szCs w:val="28"/>
          <w:shd w:val="clear" w:color="auto" w:fill="FFFFFF"/>
        </w:rPr>
        <w:t>201</w:t>
      </w:r>
      <w:r>
        <w:rPr>
          <w:rStyle w:val="a3"/>
          <w:rFonts w:ascii="华文中宋" w:eastAsia="华文中宋" w:hAnsi="华文中宋"/>
          <w:sz w:val="32"/>
          <w:szCs w:val="28"/>
          <w:shd w:val="clear" w:color="auto" w:fill="FFFFFF"/>
        </w:rPr>
        <w:t>7</w:t>
      </w:r>
      <w:r w:rsidRPr="00F62C45">
        <w:rPr>
          <w:rStyle w:val="a3"/>
          <w:rFonts w:ascii="华文中宋" w:eastAsia="华文中宋" w:hAnsi="华文中宋" w:hint="eastAsia"/>
          <w:sz w:val="32"/>
          <w:szCs w:val="28"/>
          <w:shd w:val="clear" w:color="auto" w:fill="FFFFFF"/>
        </w:rPr>
        <w:t>年度</w:t>
      </w:r>
      <w:r w:rsidRPr="00F62C45">
        <w:rPr>
          <w:rStyle w:val="a3"/>
          <w:rFonts w:ascii="华文中宋" w:eastAsia="华文中宋" w:hAnsi="华文中宋"/>
          <w:sz w:val="32"/>
          <w:szCs w:val="28"/>
          <w:shd w:val="clear" w:color="auto" w:fill="FFFFFF"/>
        </w:rPr>
        <w:t>课题申报指南</w:t>
      </w:r>
    </w:p>
    <w:p w:rsidR="009D17DC" w:rsidRPr="00574487" w:rsidRDefault="009D17DC" w:rsidP="009D17DC">
      <w:pPr>
        <w:adjustRightInd w:val="0"/>
        <w:snapToGrid w:val="0"/>
        <w:spacing w:line="600" w:lineRule="exact"/>
        <w:jc w:val="center"/>
        <w:rPr>
          <w:rStyle w:val="a3"/>
          <w:rFonts w:ascii="宋体" w:hAnsi="宋体"/>
          <w:sz w:val="32"/>
          <w:szCs w:val="28"/>
          <w:shd w:val="clear" w:color="auto" w:fill="FFFFFF"/>
        </w:rPr>
      </w:pPr>
    </w:p>
    <w:p w:rsidR="009D17DC" w:rsidRPr="00574487" w:rsidRDefault="009D17DC" w:rsidP="009D17DC">
      <w:pPr>
        <w:pStyle w:val="a4"/>
        <w:numPr>
          <w:ilvl w:val="0"/>
          <w:numId w:val="1"/>
        </w:numPr>
        <w:adjustRightInd w:val="0"/>
        <w:snapToGrid w:val="0"/>
        <w:spacing w:beforeLines="100" w:before="312" w:afterLines="100" w:after="312" w:line="480" w:lineRule="exact"/>
        <w:ind w:left="476" w:hangingChars="170" w:hanging="476"/>
        <w:jc w:val="left"/>
        <w:rPr>
          <w:rFonts w:ascii="微软雅黑" w:eastAsia="微软雅黑" w:hAnsi="微软雅黑"/>
          <w:b/>
          <w:sz w:val="28"/>
          <w:szCs w:val="21"/>
        </w:rPr>
      </w:pPr>
      <w:r w:rsidRPr="00574487">
        <w:rPr>
          <w:rFonts w:ascii="微软雅黑" w:eastAsia="微软雅黑" w:hAnsi="微软雅黑" w:hint="eastAsia"/>
          <w:b/>
          <w:sz w:val="28"/>
          <w:szCs w:val="21"/>
        </w:rPr>
        <w:t>重点研究课题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sz w:val="28"/>
          <w:szCs w:val="28"/>
        </w:rPr>
      </w:pPr>
      <w:r w:rsidRPr="00574487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.</w:t>
      </w:r>
      <w:r w:rsidRPr="00574487">
        <w:rPr>
          <w:rFonts w:ascii="宋体" w:hAnsi="宋体" w:cs="宋体"/>
          <w:sz w:val="28"/>
          <w:szCs w:val="28"/>
        </w:rPr>
        <w:t>“四化三学”理论与实践</w:t>
      </w:r>
      <w:r w:rsidRPr="00574487">
        <w:rPr>
          <w:rFonts w:ascii="宋体" w:hAnsi="宋体" w:cs="宋体" w:hint="eastAsia"/>
          <w:sz w:val="28"/>
          <w:szCs w:val="28"/>
        </w:rPr>
        <w:t>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sz w:val="28"/>
          <w:szCs w:val="28"/>
        </w:rPr>
      </w:pPr>
      <w:r w:rsidRPr="00574487"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.教育信息化</w:t>
      </w:r>
      <w:r>
        <w:rPr>
          <w:rFonts w:ascii="宋体" w:hAnsi="宋体" w:cs="宋体"/>
          <w:sz w:val="28"/>
          <w:szCs w:val="28"/>
        </w:rPr>
        <w:t>与教育综合改革研究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sz w:val="28"/>
          <w:szCs w:val="28"/>
        </w:rPr>
      </w:pPr>
      <w:r w:rsidRPr="00574487"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.</w:t>
      </w:r>
      <w:r w:rsidRPr="00574487">
        <w:rPr>
          <w:rFonts w:ascii="宋体" w:hAnsi="宋体" w:cs="宋体" w:hint="eastAsia"/>
          <w:sz w:val="28"/>
          <w:szCs w:val="28"/>
        </w:rPr>
        <w:t>高等</w:t>
      </w:r>
      <w:r w:rsidRPr="00574487">
        <w:rPr>
          <w:rFonts w:ascii="宋体" w:hAnsi="宋体" w:cs="宋体"/>
          <w:sz w:val="28"/>
          <w:szCs w:val="28"/>
        </w:rPr>
        <w:t>学校智慧教育理论与实践研究</w:t>
      </w:r>
    </w:p>
    <w:p w:rsidR="009D17DC" w:rsidRPr="00E94746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sz w:val="28"/>
          <w:szCs w:val="28"/>
        </w:rPr>
      </w:pPr>
      <w:r w:rsidRPr="00E94746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.</w:t>
      </w:r>
      <w:r w:rsidRPr="00E94746">
        <w:rPr>
          <w:rFonts w:ascii="宋体" w:hAnsi="宋体" w:cs="宋体" w:hint="eastAsia"/>
          <w:sz w:val="28"/>
          <w:szCs w:val="28"/>
        </w:rPr>
        <w:t>信息技术</w:t>
      </w:r>
      <w:r w:rsidRPr="00E94746">
        <w:rPr>
          <w:rFonts w:ascii="宋体" w:hAnsi="宋体" w:cs="宋体"/>
          <w:sz w:val="28"/>
          <w:szCs w:val="28"/>
        </w:rPr>
        <w:t>与</w:t>
      </w:r>
      <w:r w:rsidRPr="00E94746">
        <w:rPr>
          <w:rFonts w:ascii="宋体" w:hAnsi="宋体" w:cs="宋体" w:hint="eastAsia"/>
          <w:sz w:val="28"/>
          <w:szCs w:val="28"/>
        </w:rPr>
        <w:t>教育</w:t>
      </w:r>
      <w:r w:rsidRPr="00E94746">
        <w:rPr>
          <w:rFonts w:ascii="宋体" w:hAnsi="宋体" w:cs="宋体"/>
          <w:sz w:val="28"/>
          <w:szCs w:val="28"/>
        </w:rPr>
        <w:t>教学深度融合</w:t>
      </w:r>
      <w:r w:rsidRPr="00E94746">
        <w:rPr>
          <w:rFonts w:ascii="宋体" w:hAnsi="宋体" w:cs="宋体" w:hint="eastAsia"/>
          <w:sz w:val="28"/>
          <w:szCs w:val="28"/>
        </w:rPr>
        <w:t>理论与</w:t>
      </w:r>
      <w:r w:rsidRPr="00E94746">
        <w:rPr>
          <w:rFonts w:ascii="宋体" w:hAnsi="宋体" w:cs="宋体"/>
          <w:sz w:val="28"/>
          <w:szCs w:val="28"/>
        </w:rPr>
        <w:t>实践研究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sz w:val="28"/>
          <w:szCs w:val="28"/>
        </w:rPr>
      </w:pPr>
      <w:r w:rsidRPr="00574487"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.</w:t>
      </w:r>
      <w:r w:rsidRPr="00E94746">
        <w:rPr>
          <w:rFonts w:ascii="宋体" w:hAnsi="宋体" w:cs="宋体" w:hint="eastAsia"/>
          <w:sz w:val="28"/>
          <w:szCs w:val="28"/>
        </w:rPr>
        <w:t>教育资源公共服务体系建设</w:t>
      </w:r>
      <w:r>
        <w:rPr>
          <w:rFonts w:ascii="宋体" w:hAnsi="宋体" w:cs="宋体" w:hint="eastAsia"/>
          <w:sz w:val="28"/>
          <w:szCs w:val="28"/>
        </w:rPr>
        <w:t>与</w:t>
      </w:r>
      <w:r>
        <w:rPr>
          <w:rFonts w:ascii="宋体" w:hAnsi="宋体" w:cs="宋体"/>
          <w:sz w:val="28"/>
          <w:szCs w:val="28"/>
        </w:rPr>
        <w:t>应用研究</w:t>
      </w:r>
    </w:p>
    <w:p w:rsidR="009D17DC" w:rsidRPr="00B11D8E" w:rsidRDefault="009D17DC" w:rsidP="009D17DC">
      <w:pPr>
        <w:adjustRightInd w:val="0"/>
        <w:snapToGrid w:val="0"/>
        <w:spacing w:beforeLines="100" w:before="312" w:afterLines="100" w:after="312" w:line="500" w:lineRule="exact"/>
        <w:jc w:val="left"/>
        <w:rPr>
          <w:rFonts w:ascii="微软雅黑" w:eastAsia="微软雅黑" w:hAnsi="微软雅黑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>二.</w:t>
      </w:r>
      <w:r w:rsidRPr="00B11D8E">
        <w:rPr>
          <w:rFonts w:ascii="微软雅黑" w:eastAsia="微软雅黑" w:hAnsi="微软雅黑"/>
          <w:b/>
          <w:sz w:val="28"/>
          <w:szCs w:val="21"/>
        </w:rPr>
        <w:t>一般</w:t>
      </w:r>
      <w:r w:rsidRPr="00B11D8E">
        <w:rPr>
          <w:rFonts w:ascii="微软雅黑" w:eastAsia="微软雅黑" w:hAnsi="微软雅黑" w:hint="eastAsia"/>
          <w:b/>
          <w:sz w:val="28"/>
          <w:szCs w:val="21"/>
        </w:rPr>
        <w:t>研究课题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.</w:t>
      </w:r>
      <w:r w:rsidRPr="00574487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教育信息化与</w:t>
      </w:r>
      <w:r w:rsidRPr="00574487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教育均衡问题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</w:pPr>
      <w:r w:rsidRPr="00574487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.</w:t>
      </w:r>
      <w:r w:rsidRPr="00574487"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教育大数据与教育“互联网</w:t>
      </w:r>
      <w:r w:rsidRPr="00574487"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+</w:t>
      </w:r>
      <w:r w:rsidRPr="00574487"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”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 xml:space="preserve"> 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</w:pPr>
      <w:r w:rsidRPr="00574487"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.创客与STEM</w:t>
      </w:r>
      <w:r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A</w:t>
      </w:r>
      <w:r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教育研究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</w:pPr>
      <w:r w:rsidRPr="00574487"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.</w:t>
      </w:r>
      <w:r w:rsidRPr="00574487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智慧教育理念与模式创新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color w:val="000000" w:themeColor="text1"/>
          <w:sz w:val="28"/>
          <w:szCs w:val="28"/>
        </w:rPr>
      </w:pPr>
      <w:r w:rsidRPr="00574487"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.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东西部</w:t>
      </w:r>
      <w:r w:rsidRPr="00574487">
        <w:rPr>
          <w:rFonts w:ascii="宋体" w:hAnsi="宋体" w:cs="宋体"/>
          <w:color w:val="000000" w:themeColor="text1"/>
          <w:sz w:val="28"/>
          <w:szCs w:val="28"/>
        </w:rPr>
        <w:t>课程联盟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课程</w:t>
      </w:r>
      <w:r w:rsidRPr="00574487">
        <w:rPr>
          <w:rFonts w:ascii="宋体" w:hAnsi="宋体" w:cs="宋体"/>
          <w:color w:val="000000" w:themeColor="text1"/>
          <w:sz w:val="28"/>
          <w:szCs w:val="28"/>
        </w:rPr>
        <w:t>建设与应用研究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color w:val="000000" w:themeColor="text1"/>
          <w:sz w:val="28"/>
          <w:szCs w:val="28"/>
        </w:rPr>
      </w:pPr>
      <w:r w:rsidRPr="00574487">
        <w:rPr>
          <w:rFonts w:ascii="宋体" w:hAnsi="宋体" w:cs="宋体"/>
          <w:color w:val="000000" w:themeColor="text1"/>
          <w:sz w:val="28"/>
          <w:szCs w:val="28"/>
        </w:rPr>
        <w:t>6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.信息化背景下教师</w:t>
      </w:r>
      <w:r>
        <w:rPr>
          <w:rFonts w:ascii="宋体" w:hAnsi="宋体" w:cs="宋体"/>
          <w:color w:val="000000" w:themeColor="text1"/>
          <w:sz w:val="28"/>
          <w:szCs w:val="28"/>
        </w:rPr>
        <w:t>专业学习研究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color w:val="000000" w:themeColor="text1"/>
          <w:sz w:val="28"/>
          <w:szCs w:val="28"/>
        </w:rPr>
      </w:pPr>
      <w:r w:rsidRPr="00574487">
        <w:rPr>
          <w:rFonts w:ascii="宋体" w:hAnsi="宋体" w:cs="宋体"/>
          <w:color w:val="000000" w:themeColor="text1"/>
          <w:sz w:val="28"/>
          <w:szCs w:val="28"/>
        </w:rPr>
        <w:t>7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.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教育信息化区域</w:t>
      </w:r>
      <w:r w:rsidRPr="00574487">
        <w:rPr>
          <w:rFonts w:ascii="宋体" w:hAnsi="宋体" w:cs="宋体"/>
          <w:color w:val="000000" w:themeColor="text1"/>
          <w:sz w:val="28"/>
          <w:szCs w:val="28"/>
        </w:rPr>
        <w:t>应用</w:t>
      </w:r>
      <w:r w:rsidRPr="00574487">
        <w:rPr>
          <w:rFonts w:ascii="宋体" w:hAnsi="宋体" w:cs="宋体" w:hint="eastAsia"/>
          <w:color w:val="000000" w:themeColor="text1"/>
          <w:sz w:val="28"/>
          <w:szCs w:val="28"/>
        </w:rPr>
        <w:t>典型案例研究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574487">
        <w:rPr>
          <w:rFonts w:ascii="宋体" w:hAnsi="宋体" w:cs="宋体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.</w:t>
      </w:r>
      <w:r w:rsidRPr="00574487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信息技术支撑职业教育改革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与</w:t>
      </w:r>
      <w:r w:rsidRPr="00574487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发展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</w:pPr>
      <w:r w:rsidRPr="00574487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9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教育信息化</w:t>
      </w:r>
      <w:r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绩效评估研究</w:t>
      </w:r>
    </w:p>
    <w:p w:rsidR="009D17DC" w:rsidRPr="00574487" w:rsidRDefault="009D17DC" w:rsidP="009D17DC">
      <w:pPr>
        <w:adjustRightInd w:val="0"/>
        <w:snapToGrid w:val="0"/>
        <w:spacing w:line="560" w:lineRule="exact"/>
        <w:ind w:firstLineChars="152" w:firstLine="426"/>
        <w:rPr>
          <w:rFonts w:ascii="宋体" w:hAnsi="宋体" w:cs="宋体"/>
          <w:color w:val="000000" w:themeColor="text1"/>
          <w:sz w:val="28"/>
          <w:szCs w:val="28"/>
        </w:rPr>
      </w:pPr>
      <w:r w:rsidRPr="00574487">
        <w:rPr>
          <w:rFonts w:asciiTheme="minorEastAsia" w:eastAsiaTheme="minorEastAsia" w:hAnsiTheme="minorEastAsia" w:cs="FZHTK--GBK1-0"/>
          <w:color w:val="000000" w:themeColor="text1"/>
          <w:kern w:val="0"/>
          <w:sz w:val="28"/>
          <w:szCs w:val="28"/>
        </w:rPr>
        <w:t>10</w:t>
      </w:r>
      <w:r>
        <w:rPr>
          <w:rFonts w:asciiTheme="minorEastAsia" w:eastAsiaTheme="minorEastAsia" w:hAnsiTheme="minorEastAsia" w:cs="FZHTK--GBK1-0" w:hint="eastAsia"/>
          <w:color w:val="000000" w:themeColor="text1"/>
          <w:kern w:val="0"/>
          <w:sz w:val="28"/>
          <w:szCs w:val="28"/>
        </w:rPr>
        <w:t>.</w:t>
      </w:r>
      <w:r w:rsidRPr="00E94746">
        <w:rPr>
          <w:rFonts w:ascii="宋体" w:hAnsi="宋体" w:cs="宋体" w:hint="eastAsia"/>
          <w:color w:val="000000" w:themeColor="text1"/>
          <w:sz w:val="28"/>
          <w:szCs w:val="28"/>
        </w:rPr>
        <w:t>管理信息化水平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与</w:t>
      </w:r>
      <w:r w:rsidRPr="00E94746">
        <w:rPr>
          <w:rFonts w:ascii="宋体" w:hAnsi="宋体" w:cs="宋体" w:hint="eastAsia"/>
          <w:color w:val="000000" w:themeColor="text1"/>
          <w:sz w:val="28"/>
          <w:szCs w:val="28"/>
        </w:rPr>
        <w:t>教育治理能力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研究</w:t>
      </w:r>
    </w:p>
    <w:p w:rsidR="009D17DC" w:rsidRPr="00622A14" w:rsidRDefault="009D17DC" w:rsidP="009D17DC">
      <w:pPr>
        <w:adjustRightInd w:val="0"/>
        <w:snapToGrid w:val="0"/>
        <w:spacing w:line="360" w:lineRule="auto"/>
        <w:ind w:firstLineChars="152" w:firstLine="365"/>
        <w:rPr>
          <w:rFonts w:asciiTheme="minorEastAsia" w:eastAsiaTheme="minorEastAsia" w:hAnsiTheme="minorEastAsia" w:cs="FZHTK--GBK1-0"/>
          <w:kern w:val="0"/>
          <w:sz w:val="24"/>
          <w:szCs w:val="24"/>
        </w:rPr>
      </w:pPr>
    </w:p>
    <w:p w:rsidR="00B9591E" w:rsidRPr="009D17DC" w:rsidRDefault="00B9591E">
      <w:bookmarkStart w:id="0" w:name="_GoBack"/>
      <w:bookmarkEnd w:id="0"/>
    </w:p>
    <w:sectPr w:rsidR="00B9591E" w:rsidRPr="009D1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HT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1FFC"/>
    <w:multiLevelType w:val="hybridMultilevel"/>
    <w:tmpl w:val="DA9C301E"/>
    <w:lvl w:ilvl="0" w:tplc="91A84F6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C"/>
    <w:rsid w:val="009D17DC"/>
    <w:rsid w:val="00B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D17D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D17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D17D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D17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2017-03-28T02:05:00Z</dcterms:created>
  <dcterms:modified xsi:type="dcterms:W3CDTF">2017-03-28T02:06:00Z</dcterms:modified>
</cp:coreProperties>
</file>